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lang w:val="en-US" w:eastAsia="zh-CN"/>
        </w:rPr>
      </w:pPr>
      <w:r>
        <w:rPr>
          <w:rFonts w:hint="eastAsia" w:ascii="黑体" w:hAnsi="黑体" w:eastAsia="黑体" w:cs="黑体"/>
          <w:sz w:val="36"/>
          <w:szCs w:val="36"/>
          <w:lang w:eastAsia="zh-CN"/>
        </w:rPr>
        <w:t>宁东铁路</w:t>
      </w:r>
      <w:r>
        <w:rPr>
          <w:rFonts w:hint="eastAsia" w:ascii="黑体" w:hAnsi="黑体" w:eastAsia="黑体" w:cs="黑体"/>
          <w:sz w:val="36"/>
          <w:szCs w:val="36"/>
          <w:lang w:val="en-US" w:eastAsia="zh-CN"/>
        </w:rPr>
        <w:t>2024年新建及更新改造工程项目</w:t>
      </w:r>
    </w:p>
    <w:p>
      <w:p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委托监理标准及要求</w:t>
      </w:r>
    </w:p>
    <w:p>
      <w:pPr>
        <w:pStyle w:val="6"/>
        <w:rPr>
          <w:rFonts w:hint="eastAsia"/>
          <w:lang w:val="en-US" w:eastAsia="zh-CN"/>
        </w:rPr>
      </w:pPr>
    </w:p>
    <w:p>
      <w:pPr>
        <w:numPr>
          <w:ilvl w:val="0"/>
          <w:numId w:val="1"/>
        </w:numPr>
        <w:ind w:leftChars="-279" w:firstLine="1200" w:firstLineChars="400"/>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rPr>
        <w:t>项目名称：宁东铁路</w:t>
      </w:r>
      <w:r>
        <w:rPr>
          <w:rFonts w:hint="eastAsia" w:ascii="仿宋" w:hAnsi="仿宋" w:eastAsia="仿宋" w:cs="仿宋"/>
          <w:b w:val="0"/>
          <w:bCs w:val="0"/>
          <w:color w:val="auto"/>
          <w:sz w:val="30"/>
          <w:szCs w:val="30"/>
          <w:lang w:val="en-US" w:eastAsia="zh-CN"/>
        </w:rPr>
        <w:t>2024年工程施工监理项目</w:t>
      </w:r>
    </w:p>
    <w:p>
      <w:pPr>
        <w:numPr>
          <w:ilvl w:val="0"/>
          <w:numId w:val="0"/>
        </w:numPr>
        <w:ind w:firstLine="600" w:firstLineChars="200"/>
        <w:rPr>
          <w:rFonts w:hint="default"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val="en-US" w:eastAsia="zh-CN"/>
        </w:rPr>
        <w:t>监理的工程项目包括：1、宁东铁路羊场湾等站房屋维修项目</w:t>
      </w:r>
      <w:r>
        <w:rPr>
          <w:rFonts w:hint="eastAsia" w:ascii="仿宋" w:hAnsi="仿宋" w:eastAsia="仿宋" w:cs="仿宋"/>
          <w:b w:val="0"/>
          <w:bCs w:val="0"/>
          <w:color w:val="auto"/>
          <w:sz w:val="30"/>
          <w:szCs w:val="30"/>
          <w:lang w:val="zh-CN" w:eastAsia="zh-CN"/>
        </w:rPr>
        <w:t>；</w:t>
      </w:r>
      <w:r>
        <w:rPr>
          <w:rFonts w:hint="eastAsia" w:ascii="仿宋" w:hAnsi="仿宋" w:eastAsia="仿宋" w:cs="仿宋"/>
          <w:b w:val="0"/>
          <w:bCs w:val="0"/>
          <w:color w:val="auto"/>
          <w:sz w:val="30"/>
          <w:szCs w:val="30"/>
          <w:lang w:val="en-US" w:eastAsia="zh-CN"/>
        </w:rPr>
        <w:t>2、立体仓库等房屋改造</w:t>
      </w:r>
      <w:r>
        <w:rPr>
          <w:rFonts w:hint="eastAsia" w:ascii="仿宋" w:hAnsi="仿宋" w:eastAsia="仿宋" w:cs="仿宋"/>
          <w:b w:val="0"/>
          <w:bCs w:val="0"/>
          <w:color w:val="auto"/>
          <w:sz w:val="30"/>
          <w:szCs w:val="30"/>
          <w:lang w:val="zh-CN" w:eastAsia="zh-CN"/>
        </w:rPr>
        <w:t>项目；</w:t>
      </w:r>
      <w:r>
        <w:rPr>
          <w:rFonts w:hint="eastAsia" w:ascii="仿宋" w:hAnsi="仿宋" w:eastAsia="仿宋" w:cs="仿宋"/>
          <w:b w:val="0"/>
          <w:bCs w:val="0"/>
          <w:color w:val="auto"/>
          <w:sz w:val="30"/>
          <w:szCs w:val="30"/>
          <w:lang w:val="en-US" w:eastAsia="zh-CN"/>
        </w:rPr>
        <w:t>3、生活污水设备安装项目；4、2024年其他需委托监理的项目。</w:t>
      </w:r>
    </w:p>
    <w:p>
      <w:pPr>
        <w:numPr>
          <w:ilvl w:val="0"/>
          <w:numId w:val="0"/>
        </w:numPr>
        <w:ind w:leftChars="-279" w:firstLine="1200" w:firstLineChars="400"/>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val="en-US" w:eastAsia="zh-CN"/>
        </w:rPr>
        <w:t>二、监理工程</w:t>
      </w:r>
      <w:r>
        <w:rPr>
          <w:rFonts w:hint="eastAsia" w:ascii="仿宋" w:hAnsi="仿宋" w:eastAsia="仿宋" w:cs="仿宋"/>
          <w:b w:val="0"/>
          <w:bCs w:val="0"/>
          <w:color w:val="auto"/>
          <w:sz w:val="30"/>
          <w:szCs w:val="30"/>
        </w:rPr>
        <w:t>现状及概况</w:t>
      </w:r>
      <w:r>
        <w:rPr>
          <w:rFonts w:hint="eastAsia" w:ascii="仿宋" w:hAnsi="仿宋" w:eastAsia="仿宋" w:cs="仿宋"/>
          <w:b w:val="0"/>
          <w:bCs w:val="0"/>
          <w:color w:val="auto"/>
          <w:sz w:val="30"/>
          <w:szCs w:val="30"/>
          <w:lang w:val="en-US" w:eastAsia="zh-CN"/>
        </w:rPr>
        <w:t>：</w:t>
      </w:r>
    </w:p>
    <w:p>
      <w:pPr>
        <w:snapToGrid w:val="0"/>
        <w:spacing w:line="520" w:lineRule="exact"/>
        <w:ind w:firstLine="600" w:firstLineChars="200"/>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val="en-US" w:eastAsia="zh-CN"/>
        </w:rPr>
        <w:t>（一）宁东铁路羊场湾等站房屋维修项目。项目地点：羊场湾站、冯记沟站、枣泉站、红梁子站、老庄子站。工程包括：为提高站区标准化建设，计划对枣泉站信号楼外墙面粘贴一体板、室内墙面粉刷、屋面防水维修、室内地面瓷砖维修、厨房浴室改造维修、更换站区围栏、维修供水和排水管路等；对羊场湾站房屋外墙粘贴一体板，宿舍室内粉刷维修、站台面局部维修等；冯记沟站信号楼房屋室内墙面粉刷、外墙面粘贴一体板、更换站区栏杆（含红梁子站和老庄子站）、厨房浴室改造维修等。项目合同价为2222022.60元。</w:t>
      </w:r>
    </w:p>
    <w:p>
      <w:pPr>
        <w:numPr>
          <w:ilvl w:val="0"/>
          <w:numId w:val="0"/>
        </w:numPr>
        <w:ind w:left="0" w:leftChars="0" w:firstLine="639" w:firstLineChars="213"/>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val="en-US" w:eastAsia="zh-CN"/>
        </w:rPr>
        <w:t>（二）立体仓库等房屋改造</w:t>
      </w:r>
      <w:r>
        <w:rPr>
          <w:rFonts w:hint="eastAsia" w:ascii="仿宋" w:hAnsi="仿宋" w:eastAsia="仿宋" w:cs="仿宋"/>
          <w:b w:val="0"/>
          <w:bCs w:val="0"/>
          <w:color w:val="auto"/>
          <w:sz w:val="30"/>
          <w:szCs w:val="30"/>
          <w:lang w:val="zh-CN" w:eastAsia="zh-CN"/>
        </w:rPr>
        <w:t>项目</w:t>
      </w:r>
      <w:r>
        <w:rPr>
          <w:rFonts w:hint="eastAsia" w:ascii="仿宋" w:hAnsi="仿宋" w:eastAsia="仿宋" w:cs="仿宋"/>
          <w:b w:val="0"/>
          <w:bCs w:val="0"/>
          <w:color w:val="auto"/>
          <w:sz w:val="30"/>
          <w:szCs w:val="30"/>
          <w:lang w:val="en-US" w:eastAsia="zh-CN"/>
        </w:rPr>
        <w:t>。项目地点：古窑子站立体仓库、存轮场。项目概况：立体仓库和存轮场彩钢板夹芯材质更换为现行规范所要求的防火材质，改造内部水暖管路、消防系统、电气线路、照明系统、门窗、办公室、会议室和资料室。年度投资计划约为380万元。</w:t>
      </w:r>
    </w:p>
    <w:p>
      <w:pPr>
        <w:keepNext w:val="0"/>
        <w:keepLines w:val="0"/>
        <w:pageBreakBefore w:val="0"/>
        <w:widowControl/>
        <w:kinsoku/>
        <w:wordWrap/>
        <w:overflowPunct/>
        <w:topLinePunct w:val="0"/>
        <w:autoSpaceDE/>
        <w:autoSpaceDN/>
        <w:bidi w:val="0"/>
        <w:adjustRightInd w:val="0"/>
        <w:snapToGrid w:val="0"/>
        <w:spacing w:line="540" w:lineRule="exact"/>
        <w:ind w:right="0" w:firstLine="600" w:firstLineChars="200"/>
        <w:jc w:val="left"/>
        <w:textAlignment w:val="baseline"/>
        <w:outlineLvl w:val="0"/>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val="en-US" w:eastAsia="zh-CN"/>
        </w:rPr>
        <w:t>（三）生活污水设备安装项目。项目地点：老庄子站、红梁子站、冯记沟站、红柳站、石槽村站、长城南站、梅园站、羊场湾站、宁东北站、鸭子荡站。项目概况：宁东铁路公司老庄子站、红梁子站、冯记沟站、红柳站、石槽村站、长城南站、梅园站、羊场湾站、宁东北站、鸭子荡站污水具有水量小、排放量不稳定、点多线长和污染源分散等特点,且由于铁路分布形式的特殊性, 铁路污水尤其是中小站的生活污水很难并入当地市政污水处理系统, 绝大多数情况下只有采用自行处理的方式。为提高铁路沿线车站生活污水环保治理，确保污水排放达标，计划对沿线无法接入市政排污管网的站区安装污水处理。投资计划价约为240万元。</w:t>
      </w:r>
    </w:p>
    <w:p>
      <w:pPr>
        <w:numPr>
          <w:ilvl w:val="0"/>
          <w:numId w:val="0"/>
        </w:numPr>
        <w:ind w:firstLine="600" w:firstLineChars="200"/>
        <w:rPr>
          <w:rFonts w:hint="eastAsia"/>
          <w:lang w:val="en-US" w:eastAsia="zh-CN"/>
        </w:rPr>
      </w:pPr>
      <w:r>
        <w:rPr>
          <w:rFonts w:hint="eastAsia" w:ascii="仿宋" w:hAnsi="仿宋" w:eastAsia="仿宋" w:cs="仿宋"/>
          <w:b w:val="0"/>
          <w:bCs w:val="0"/>
          <w:color w:val="auto"/>
          <w:sz w:val="30"/>
          <w:szCs w:val="30"/>
          <w:lang w:val="en-US" w:eastAsia="zh-CN"/>
        </w:rPr>
        <w:t>（四）</w:t>
      </w:r>
      <w:r>
        <w:rPr>
          <w:rFonts w:hint="eastAsia" w:ascii="仿宋" w:hAnsi="仿宋" w:eastAsia="仿宋" w:cs="仿宋"/>
          <w:color w:val="000000"/>
          <w:sz w:val="28"/>
          <w:szCs w:val="28"/>
          <w:lang w:val="en-US" w:eastAsia="zh-CN"/>
        </w:rPr>
        <w:t>2024年其他需委托监理的零星项目。</w:t>
      </w:r>
    </w:p>
    <w:p>
      <w:pPr>
        <w:spacing w:line="360" w:lineRule="auto"/>
        <w:contextualSpacing/>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rPr>
        <w:t xml:space="preserve">    </w:t>
      </w:r>
      <w:r>
        <w:rPr>
          <w:rFonts w:hint="eastAsia" w:ascii="仿宋" w:hAnsi="仿宋" w:eastAsia="仿宋" w:cs="仿宋"/>
          <w:b w:val="0"/>
          <w:bCs w:val="0"/>
          <w:color w:val="auto"/>
          <w:sz w:val="30"/>
          <w:szCs w:val="30"/>
          <w:lang w:eastAsia="zh-CN"/>
        </w:rPr>
        <w:t>三</w:t>
      </w:r>
      <w:r>
        <w:rPr>
          <w:rFonts w:hint="eastAsia" w:ascii="仿宋" w:hAnsi="仿宋" w:eastAsia="仿宋" w:cs="仿宋"/>
          <w:b w:val="0"/>
          <w:bCs w:val="0"/>
          <w:color w:val="auto"/>
          <w:sz w:val="30"/>
          <w:szCs w:val="30"/>
        </w:rPr>
        <w:t>、</w:t>
      </w:r>
      <w:r>
        <w:rPr>
          <w:rFonts w:hint="eastAsia" w:ascii="仿宋" w:hAnsi="仿宋" w:eastAsia="仿宋" w:cs="仿宋"/>
          <w:b w:val="0"/>
          <w:bCs w:val="0"/>
          <w:color w:val="auto"/>
          <w:sz w:val="30"/>
          <w:szCs w:val="30"/>
          <w:lang w:val="en-US" w:eastAsia="zh-CN"/>
        </w:rPr>
        <w:t>监理的工程项目</w:t>
      </w:r>
      <w:r>
        <w:rPr>
          <w:rFonts w:hint="eastAsia" w:ascii="仿宋" w:hAnsi="仿宋" w:eastAsia="仿宋" w:cs="仿宋"/>
          <w:b w:val="0"/>
          <w:bCs w:val="0"/>
          <w:color w:val="auto"/>
          <w:sz w:val="30"/>
          <w:szCs w:val="30"/>
        </w:rPr>
        <w:t>工期</w:t>
      </w:r>
      <w:r>
        <w:rPr>
          <w:rFonts w:hint="eastAsia" w:ascii="仿宋" w:hAnsi="仿宋" w:eastAsia="仿宋" w:cs="仿宋"/>
          <w:b w:val="0"/>
          <w:bCs w:val="0"/>
          <w:color w:val="auto"/>
          <w:sz w:val="30"/>
          <w:szCs w:val="30"/>
          <w:lang w:eastAsia="zh-CN"/>
        </w:rPr>
        <w:t>：</w:t>
      </w:r>
      <w:r>
        <w:rPr>
          <w:rFonts w:hint="eastAsia" w:ascii="仿宋" w:hAnsi="仿宋" w:eastAsia="仿宋" w:cs="仿宋"/>
          <w:b w:val="0"/>
          <w:bCs w:val="0"/>
          <w:color w:val="auto"/>
          <w:sz w:val="30"/>
          <w:szCs w:val="30"/>
          <w:lang w:val="en-US" w:eastAsia="zh-CN"/>
        </w:rPr>
        <w:t>与各项目施工期同步。</w:t>
      </w:r>
    </w:p>
    <w:p>
      <w:pPr>
        <w:spacing w:line="360" w:lineRule="auto"/>
        <w:ind w:firstLine="600" w:firstLineChars="200"/>
        <w:contextualSpacing/>
        <w:rPr>
          <w:rFonts w:hint="eastAsia" w:ascii="仿宋" w:hAnsi="仿宋" w:eastAsia="仿宋" w:cs="仿宋"/>
          <w:b w:val="0"/>
          <w:bCs w:val="0"/>
          <w:color w:val="auto"/>
          <w:sz w:val="30"/>
          <w:szCs w:val="30"/>
        </w:rPr>
      </w:pPr>
      <w:r>
        <w:rPr>
          <w:rFonts w:hint="eastAsia" w:ascii="仿宋" w:hAnsi="仿宋" w:eastAsia="仿宋" w:cs="仿宋"/>
          <w:b w:val="0"/>
          <w:bCs w:val="0"/>
          <w:color w:val="auto"/>
          <w:sz w:val="30"/>
          <w:szCs w:val="30"/>
          <w:lang w:eastAsia="zh-CN"/>
        </w:rPr>
        <w:t>四</w:t>
      </w:r>
      <w:r>
        <w:rPr>
          <w:rFonts w:hint="eastAsia" w:ascii="仿宋" w:hAnsi="仿宋" w:eastAsia="仿宋" w:cs="仿宋"/>
          <w:b w:val="0"/>
          <w:bCs w:val="0"/>
          <w:color w:val="auto"/>
          <w:sz w:val="30"/>
          <w:szCs w:val="30"/>
        </w:rPr>
        <w:t>、</w:t>
      </w:r>
      <w:r>
        <w:rPr>
          <w:rFonts w:hint="eastAsia" w:ascii="仿宋" w:hAnsi="仿宋" w:eastAsia="仿宋" w:cs="仿宋"/>
          <w:b w:val="0"/>
          <w:bCs w:val="0"/>
          <w:color w:val="auto"/>
          <w:sz w:val="30"/>
          <w:szCs w:val="30"/>
          <w:lang w:val="en-US" w:eastAsia="zh-CN"/>
        </w:rPr>
        <w:t>监理</w:t>
      </w:r>
      <w:r>
        <w:rPr>
          <w:rFonts w:hint="eastAsia" w:ascii="仿宋" w:hAnsi="仿宋" w:eastAsia="仿宋" w:cs="仿宋"/>
          <w:b w:val="0"/>
          <w:bCs w:val="0"/>
          <w:color w:val="auto"/>
          <w:sz w:val="30"/>
          <w:szCs w:val="30"/>
        </w:rPr>
        <w:t>范围内容及要求</w:t>
      </w:r>
    </w:p>
    <w:p>
      <w:pPr>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rPr>
        <w:t xml:space="preserve">    </w:t>
      </w:r>
      <w:r>
        <w:rPr>
          <w:rFonts w:hint="eastAsia" w:ascii="仿宋" w:hAnsi="仿宋" w:eastAsia="仿宋" w:cs="仿宋"/>
          <w:b w:val="0"/>
          <w:bCs w:val="0"/>
          <w:color w:val="auto"/>
          <w:sz w:val="30"/>
          <w:szCs w:val="30"/>
          <w:lang w:val="en-US" w:eastAsia="zh-CN"/>
        </w:rPr>
        <w:t>1</w:t>
      </w:r>
      <w:r>
        <w:rPr>
          <w:rFonts w:hint="eastAsia" w:ascii="仿宋" w:hAnsi="仿宋" w:eastAsia="仿宋" w:cs="仿宋"/>
          <w:b w:val="0"/>
          <w:bCs w:val="0"/>
          <w:color w:val="auto"/>
          <w:sz w:val="30"/>
          <w:szCs w:val="30"/>
        </w:rPr>
        <w:t>、</w:t>
      </w:r>
      <w:r>
        <w:rPr>
          <w:rFonts w:hint="eastAsia" w:ascii="仿宋" w:hAnsi="仿宋" w:eastAsia="仿宋" w:cs="仿宋"/>
          <w:b w:val="0"/>
          <w:bCs w:val="0"/>
          <w:color w:val="auto"/>
          <w:sz w:val="30"/>
          <w:szCs w:val="30"/>
          <w:lang w:val="en-US" w:eastAsia="zh-CN"/>
        </w:rPr>
        <w:t>按工程监理行业规范、国家规范执行。</w:t>
      </w:r>
    </w:p>
    <w:p>
      <w:pPr>
        <w:spacing w:line="360" w:lineRule="auto"/>
        <w:ind w:firstLine="600" w:firstLineChars="200"/>
        <w:contextualSpacing/>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eastAsia="zh-CN"/>
        </w:rPr>
        <w:t>五</w:t>
      </w:r>
      <w:r>
        <w:rPr>
          <w:rFonts w:hint="eastAsia" w:ascii="仿宋" w:hAnsi="仿宋" w:eastAsia="仿宋" w:cs="仿宋"/>
          <w:b w:val="0"/>
          <w:bCs w:val="0"/>
          <w:color w:val="auto"/>
          <w:sz w:val="30"/>
          <w:szCs w:val="30"/>
        </w:rPr>
        <w:t>、</w:t>
      </w:r>
      <w:r>
        <w:rPr>
          <w:rFonts w:hint="eastAsia" w:ascii="仿宋" w:hAnsi="仿宋" w:eastAsia="仿宋" w:cs="仿宋"/>
          <w:b w:val="0"/>
          <w:bCs w:val="0"/>
          <w:color w:val="auto"/>
          <w:sz w:val="30"/>
          <w:szCs w:val="30"/>
          <w:lang w:val="en-US" w:eastAsia="zh-CN"/>
        </w:rPr>
        <w:t>合同工期及付款方式</w:t>
      </w:r>
    </w:p>
    <w:p>
      <w:pPr>
        <w:spacing w:line="360" w:lineRule="auto"/>
        <w:ind w:firstLine="600" w:firstLineChars="200"/>
        <w:contextualSpacing/>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val="en-US" w:eastAsia="zh-CN"/>
        </w:rPr>
        <w:t>1、合同工期：与各项目施工期同步。</w:t>
      </w:r>
      <w:bookmarkStart w:id="0" w:name="_GoBack"/>
      <w:bookmarkEnd w:id="0"/>
    </w:p>
    <w:p>
      <w:pPr>
        <w:spacing w:line="360" w:lineRule="auto"/>
        <w:ind w:firstLine="600" w:firstLineChars="200"/>
        <w:contextualSpacing/>
        <w:rPr>
          <w:rFonts w:hint="eastAsia"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val="en-US" w:eastAsia="zh-CN"/>
        </w:rPr>
        <w:t>2、付款方式：工程竣工验收决算后一次性付清。</w:t>
      </w:r>
    </w:p>
    <w:p>
      <w:pPr>
        <w:pStyle w:val="6"/>
        <w:ind w:left="0" w:leftChars="0" w:firstLine="0" w:firstLineChars="0"/>
        <w:rPr>
          <w:rFonts w:hint="eastAsia" w:ascii="仿宋" w:hAnsi="仿宋" w:eastAsia="仿宋" w:cs="仿宋"/>
          <w:color w:val="auto"/>
          <w:sz w:val="30"/>
          <w:szCs w:val="30"/>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63" w:bottom="1440" w:left="146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swiss"/>
    <w:pitch w:val="default"/>
    <w:sig w:usb0="800002BF" w:usb1="38CF7CFA" w:usb2="00000016" w:usb3="00000000" w:csb0="00040001" w:csb1="00000000"/>
  </w:font>
  <w:font w:name="寰蒋闆呴粦">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2FF47B"/>
    <w:multiLevelType w:val="singleLevel"/>
    <w:tmpl w:val="6C2FF47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jNTljYzYwMWJmOThjZWJhZDIyYjE5N2I0MjIwM2QifQ=="/>
  </w:docVars>
  <w:rsids>
    <w:rsidRoot w:val="66D046A1"/>
    <w:rsid w:val="00030229"/>
    <w:rsid w:val="000C23D0"/>
    <w:rsid w:val="000E7400"/>
    <w:rsid w:val="00362CE8"/>
    <w:rsid w:val="0047422D"/>
    <w:rsid w:val="006363AB"/>
    <w:rsid w:val="00675CDF"/>
    <w:rsid w:val="006A0E48"/>
    <w:rsid w:val="00712FB4"/>
    <w:rsid w:val="00736795"/>
    <w:rsid w:val="00904A66"/>
    <w:rsid w:val="00950E7A"/>
    <w:rsid w:val="00F771DC"/>
    <w:rsid w:val="028E7317"/>
    <w:rsid w:val="02AC5426"/>
    <w:rsid w:val="02B454A5"/>
    <w:rsid w:val="090A5431"/>
    <w:rsid w:val="0A2C143F"/>
    <w:rsid w:val="0C9E770D"/>
    <w:rsid w:val="0EA9147F"/>
    <w:rsid w:val="12DE5A77"/>
    <w:rsid w:val="181E6BB9"/>
    <w:rsid w:val="18E77CF7"/>
    <w:rsid w:val="1D2F63BD"/>
    <w:rsid w:val="21077811"/>
    <w:rsid w:val="23FC1582"/>
    <w:rsid w:val="29D73941"/>
    <w:rsid w:val="2BEC5442"/>
    <w:rsid w:val="2E311546"/>
    <w:rsid w:val="2F592E0B"/>
    <w:rsid w:val="2F6066F3"/>
    <w:rsid w:val="30535936"/>
    <w:rsid w:val="33984010"/>
    <w:rsid w:val="39EF402C"/>
    <w:rsid w:val="41CC3044"/>
    <w:rsid w:val="47D31B17"/>
    <w:rsid w:val="51DF68D4"/>
    <w:rsid w:val="54D526BD"/>
    <w:rsid w:val="55D95DD4"/>
    <w:rsid w:val="5E805317"/>
    <w:rsid w:val="60E86184"/>
    <w:rsid w:val="66D046A1"/>
    <w:rsid w:val="6739656C"/>
    <w:rsid w:val="6DC94FF5"/>
    <w:rsid w:val="75C679E2"/>
    <w:rsid w:val="78A71505"/>
    <w:rsid w:val="7C1E49C0"/>
    <w:rsid w:val="7DF75209"/>
    <w:rsid w:val="7ED405D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szCs w:val="18"/>
    </w:rPr>
  </w:style>
  <w:style w:type="paragraph" w:styleId="3">
    <w:name w:val="toa heading"/>
    <w:basedOn w:val="1"/>
    <w:next w:val="1"/>
    <w:qFormat/>
    <w:uiPriority w:val="0"/>
    <w:pPr>
      <w:spacing w:before="120"/>
    </w:pPr>
    <w:rPr>
      <w:rFonts w:ascii="Arial" w:hAnsi="Arial" w:cs="Arial"/>
      <w:b/>
      <w:w w:val="90"/>
      <w:sz w:val="24"/>
      <w:szCs w:val="24"/>
    </w:rPr>
  </w:style>
  <w:style w:type="paragraph" w:styleId="4">
    <w:name w:val="Body Text Indent"/>
    <w:basedOn w:val="1"/>
    <w:qFormat/>
    <w:uiPriority w:val="0"/>
    <w:pPr>
      <w:spacing w:after="120" w:afterLines="0"/>
      <w:ind w:left="420" w:leftChars="200"/>
    </w:p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4"/>
    <w:qFormat/>
    <w:uiPriority w:val="0"/>
    <w:pPr>
      <w:spacing w:after="0"/>
      <w:ind w:left="0" w:leftChars="0" w:firstLine="420" w:firstLineChars="200"/>
    </w:pPr>
    <w:rPr>
      <w:rFonts w:eastAsia="微软雅黑"/>
      <w:sz w:val="32"/>
      <w:szCs w:val="22"/>
    </w:rPr>
  </w:style>
  <w:style w:type="character" w:customStyle="1" w:styleId="9">
    <w:name w:val="Footer Char"/>
    <w:basedOn w:val="8"/>
    <w:link w:val="2"/>
    <w:semiHidden/>
    <w:qFormat/>
    <w:locked/>
    <w:uiPriority w:val="99"/>
    <w:rPr>
      <w:rFonts w:cs="Times New Roman"/>
      <w:sz w:val="18"/>
      <w:szCs w:val="18"/>
    </w:rPr>
  </w:style>
  <w:style w:type="character" w:customStyle="1" w:styleId="10">
    <w:name w:val="Header Char"/>
    <w:basedOn w:val="8"/>
    <w:link w:val="5"/>
    <w:semiHidden/>
    <w:qFormat/>
    <w:locked/>
    <w:uiPriority w:val="99"/>
    <w:rPr>
      <w:rFonts w:cs="Times New Roman"/>
      <w:sz w:val="18"/>
      <w:szCs w:val="18"/>
    </w:rPr>
  </w:style>
  <w:style w:type="paragraph" w:customStyle="1" w:styleId="11">
    <w:name w:val="Default"/>
    <w:qFormat/>
    <w:uiPriority w:val="99"/>
    <w:pPr>
      <w:widowControl w:val="0"/>
      <w:autoSpaceDE w:val="0"/>
      <w:autoSpaceDN w:val="0"/>
      <w:adjustRightInd w:val="0"/>
    </w:pPr>
    <w:rPr>
      <w:rFonts w:ascii="方正小标宋_GBK" w:hAnsi="方正小标宋_GBK" w:eastAsia="方正小标宋_GBK" w:cs="宋体"/>
      <w:color w:val="000000"/>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2</Pages>
  <Words>1296</Words>
  <Characters>1659</Characters>
  <Lines>0</Lines>
  <Paragraphs>0</Paragraphs>
  <TotalTime>0</TotalTime>
  <ScaleCrop>false</ScaleCrop>
  <LinksUpToDate>false</LinksUpToDate>
  <CharactersWithSpaces>1667</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2017-04-07T02:32:00Z</dcterms:created>
  <dc:creator>0</dc:creator>
  <cp:lastModifiedBy>魏源江</cp:lastModifiedBy>
  <cp:lastPrinted>2022-02-25T01:55:00Z</cp:lastPrinted>
  <dcterms:modified xsi:type="dcterms:W3CDTF">2024-07-10T00:49:33Z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70468CCC961B4F8CAE33BF1FAA43D496_13</vt:lpwstr>
  </property>
</Properties>
</file>